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>Для здобувачів наукового ступеня доктора філософії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2" w:tgtFrame="_blank">
        <w:r>
          <w:rPr>
            <w:rFonts w:cs="Helvetica" w:ascii="Trebuchet MS" w:hAnsi="Trebuchet MS"/>
            <w:color w:val="1F3864" w:themeColor="accent5" w:themeShade="80"/>
            <w:sz w:val="20"/>
            <w:szCs w:val="20"/>
            <w:u w:val="single"/>
            <w:shd w:fill="FFFFFF" w:val="clear"/>
          </w:rPr>
          <w:t>Закон України «Про Освіту</w:t>
        </w:r>
      </w:hyperlink>
      <w:r>
        <w:rPr>
          <w:rFonts w:ascii="Trebuchet MS" w:hAnsi="Trebuchet MS"/>
          <w:color w:val="1F3864" w:themeColor="accent5" w:themeShade="80"/>
          <w:sz w:val="20"/>
          <w:szCs w:val="20"/>
        </w:rPr>
        <w:t>»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3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Закон України «Про вищу освіту»</w:t>
        </w:r>
      </w:hyperlink>
      <w:r>
        <w:rPr>
          <w:rFonts w:eastAsia="Times New Roman" w:cs="Times New Roman" w:ascii="Trebuchet MS" w:hAnsi="Trebuchet MS"/>
          <w:color w:val="000000"/>
          <w:sz w:val="20"/>
          <w:szCs w:val="20"/>
          <w:lang w:eastAsia="uk-UA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4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Порядок підготовки здобувачів вищої освіти ступеня доктора філософії та доктора наук у вищих навчальних закладах (наукових установах), затверджений постановою Кабінету Міністрів України від 23 березня 2016 року № 261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rebuchet MS" w:hAnsi="Trebuchet MS"/>
          <w:color w:val="113152"/>
          <w:sz w:val="20"/>
          <w:szCs w:val="20"/>
          <w:u w:val="single"/>
          <w:lang w:eastAsia="uk-UA"/>
        </w:rPr>
        <w:t>Постанова від 06.</w:t>
      </w:r>
      <w:r>
        <w:rPr>
          <w:rFonts w:eastAsia="Times New Roman" w:cs="Times New Roman" w:ascii="Trebuchet MS" w:hAnsi="Trebuchet MS"/>
          <w:color w:val="113152"/>
          <w:sz w:val="20"/>
          <w:szCs w:val="20"/>
          <w:u w:val="single"/>
          <w:lang w:val="ru-RU" w:eastAsia="uk-UA"/>
        </w:rPr>
        <w:t>03</w:t>
      </w:r>
      <w:r>
        <w:rPr>
          <w:rFonts w:eastAsia="Times New Roman" w:cs="Times New Roman" w:ascii="Trebuchet MS" w:hAnsi="Trebuchet MS"/>
          <w:color w:val="113152"/>
          <w:sz w:val="20"/>
          <w:szCs w:val="20"/>
          <w:u w:val="single"/>
          <w:lang w:eastAsia="uk-UA"/>
        </w:rPr>
        <w:t>.2019 р. № 167 «Про проведення експерименту з присудження «ступеня доктора філософії»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5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Положення «Про затвердження переліку галузей знань і спеціальностей, за якими здійснюється підготовка здобувачів вищої освіти» від 29 квітня 2015 р. № 266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6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Наказ МОН України від 12.01.2017 р. № 40 «Про затвердження Вимог до оформлення дисертації».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r>
        <w:fldChar w:fldCharType="begin"/>
      </w:r>
      <w:r>
        <w:rPr>
          <w:sz w:val="20"/>
          <w:u w:val="single"/>
          <w:szCs w:val="20"/>
          <w:rFonts w:eastAsia="Times New Roman" w:cs="Times New Roman" w:ascii="Trebuchet MS" w:hAnsi="Trebuchet MS"/>
          <w:color w:val="113152"/>
          <w:lang w:eastAsia="uk-UA"/>
        </w:rPr>
        <w:instrText> HYPERLINK "https://zakon.rada.gov.ua/laws/show/579-2015-п" \l "n8" \n _blank</w:instrText>
      </w:r>
      <w:r>
        <w:rPr>
          <w:sz w:val="20"/>
          <w:u w:val="single"/>
          <w:szCs w:val="20"/>
          <w:rFonts w:eastAsia="Times New Roman" w:cs="Times New Roman" w:ascii="Trebuchet MS" w:hAnsi="Trebuchet MS"/>
          <w:color w:val="113152"/>
          <w:lang w:eastAsia="uk-UA"/>
        </w:rPr>
        <w:fldChar w:fldCharType="separate"/>
      </w:r>
      <w:r>
        <w:rPr>
          <w:rFonts w:eastAsia="Times New Roman" w:cs="Times New Roman" w:ascii="Trebuchet MS" w:hAnsi="Trebuchet MS"/>
          <w:color w:val="113152"/>
          <w:sz w:val="20"/>
          <w:szCs w:val="20"/>
          <w:u w:val="single"/>
          <w:lang w:eastAsia="uk-UA"/>
        </w:rPr>
        <w:t>Положення про порядок реалізації права на академічну мобільність: постанова КМУ від 12 серпня 2015 р. № 579</w:t>
      </w:r>
      <w:r>
        <w:rPr>
          <w:sz w:val="20"/>
          <w:u w:val="single"/>
          <w:szCs w:val="20"/>
          <w:rFonts w:eastAsia="Times New Roman" w:cs="Times New Roman" w:ascii="Trebuchet MS" w:hAnsi="Trebuchet MS"/>
          <w:color w:val="113152"/>
          <w:lang w:eastAsia="uk-UA"/>
        </w:rPr>
        <w:fldChar w:fldCharType="end"/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7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Перелік наукових фахових видань України, в яких можуть публікуватися результати дисертаційних робіт на здобуття наукових ступенів доктора наук, кандидата наук та ступеня доктора філософії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000000"/>
          <w:sz w:val="20"/>
          <w:szCs w:val="20"/>
          <w:lang w:eastAsia="uk-UA"/>
        </w:rPr>
      </w:pPr>
      <w:hyperlink r:id="rId8" w:tgtFrame="_blank">
        <w:r>
          <w:rPr>
            <w:rFonts w:eastAsia="Times New Roman" w:cs="Times New Roman" w:ascii="Trebuchet MS" w:hAnsi="Trebuchet MS"/>
            <w:color w:val="113152"/>
            <w:sz w:val="20"/>
            <w:szCs w:val="20"/>
            <w:u w:val="single"/>
            <w:lang w:eastAsia="uk-UA"/>
          </w:rPr>
          <w:t>Перелік наукових фахових видань України, наукові публікації в яких зараховуються за темою дисертації на здобуття наукових ступенів доктора наук, кандидата наук та ступеня доктора філософії, і опубліковані до 12 березня 2020 року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ind w:left="300" w:hanging="360"/>
        <w:jc w:val="both"/>
        <w:rPr>
          <w:rFonts w:ascii="Trebuchet MS" w:hAnsi="Trebuchet MS" w:eastAsia="Times New Roman" w:cs="Times New Roman"/>
          <w:color w:val="FF0000"/>
          <w:sz w:val="20"/>
          <w:szCs w:val="20"/>
          <w:u w:val="single"/>
          <w:lang w:eastAsia="uk-UA"/>
        </w:rPr>
      </w:pPr>
      <w:r>
        <w:rPr>
          <w:rFonts w:eastAsia="Times New Roman" w:cs="Times New Roman" w:ascii="Trebuchet MS" w:hAnsi="Trebuchet MS"/>
          <w:color w:val="FF0000"/>
          <w:sz w:val="20"/>
          <w:szCs w:val="20"/>
          <w:u w:val="single"/>
          <w:lang w:eastAsia="uk-UA"/>
        </w:rPr>
        <w:t>Тимчасове положення «Про організацію атестації здобувачів вищої освіти ступеня доктора філософії в Інституті біології клітини НАН України»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3"/>
    <w:uiPriority w:val="99"/>
    <w:qFormat/>
    <w:rsid w:val="00277395"/>
    <w:rPr/>
  </w:style>
  <w:style w:type="character" w:styleId="Style15" w:customStyle="1">
    <w:name w:val="Нижній колонтитул Знак"/>
    <w:basedOn w:val="DefaultParagraphFont"/>
    <w:link w:val="a5"/>
    <w:uiPriority w:val="99"/>
    <w:qFormat/>
    <w:rsid w:val="00277395"/>
    <w:rPr/>
  </w:style>
  <w:style w:type="character" w:styleId="InternetLink">
    <w:name w:val="Hyperlink"/>
    <w:basedOn w:val="DefaultParagraphFont"/>
    <w:uiPriority w:val="99"/>
    <w:semiHidden/>
    <w:unhideWhenUsed/>
    <w:rsid w:val="0027739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7739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7739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12dd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145-19" TargetMode="External"/><Relationship Id="rId3" Type="http://schemas.openxmlformats.org/officeDocument/2006/relationships/hyperlink" Target="https://zakon.rada.gov.ua/laws/show/1556-18" TargetMode="External"/><Relationship Id="rId4" Type="http://schemas.openxmlformats.org/officeDocument/2006/relationships/hyperlink" Target="https://zakon.rada.gov.ua/laws/show/261-2016-&#1087;" TargetMode="External"/><Relationship Id="rId5" Type="http://schemas.openxmlformats.org/officeDocument/2006/relationships/hyperlink" Target="https://zakon.rada.gov.ua/laws/show/266-2015-&#1087;" TargetMode="External"/><Relationship Id="rId6" Type="http://schemas.openxmlformats.org/officeDocument/2006/relationships/hyperlink" Target="https://zakon.rada.gov.ua/laws/show/z0155-17" TargetMode="External"/><Relationship Id="rId7" Type="http://schemas.openxmlformats.org/officeDocument/2006/relationships/hyperlink" Target="https://mon.gov.ua/storage/app/media/atestatsiya-kadriv-vyshchoi-kvalifikatisii/2020/05/perelik-fakhovikh-vidan.doc" TargetMode="External"/><Relationship Id="rId8" Type="http://schemas.openxmlformats.org/officeDocument/2006/relationships/hyperlink" Target="https://mon.gov.ua/storage/app/media/atestatsiya-kadriv-vyshchoi-kvalifikatisii/2020/03/Perelik fakhovykh vydan do 12.03.2020.doc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LibreOffice/6.4.7.2$Linux_X86_64 LibreOffice_project/40$Build-2</Application>
  <Pages>1</Pages>
  <Words>194</Words>
  <Characters>1169</Characters>
  <CharactersWithSpaces>1343</CharactersWithSpaces>
  <Paragraphs>11</Paragraphs>
  <Company>ICB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2021-05-19T11:44:00Z</dcterms:created>
  <dc:creator>User</dc:creator>
  <dc:description/>
  <dc:language>uk-UA</dc:language>
  <cp:lastModifiedBy/>
  <dcterms:modified xsi:type="dcterms:W3CDTF">2021-05-24T14:43:53Z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